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026"/>
        </w:tabs>
        <w:spacing w:after="800"/>
      </w:pPr>
      <w:r>
        <w:drawing>
          <wp:inline distT="0" distB="0" distL="0" distR="0">
            <wp:extent cx="1809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09750" cy="542925"/>
                    </a:xfrm>
                    <a:prstGeom prst="rect">
                      <a:avLst/>
                    </a:prstGeom>
                  </pic:spPr>
                </pic:pic>
              </a:graphicData>
            </a:graphic>
          </wp:inline>
        </w:drawing>
      </w:r>
      <w:r>
        <w:t xml:space="preserve">	</w:t>
      </w:r>
      <w:r>
        <w:drawing>
          <wp:inline distT="0" distB="0" distL="0" distR="0">
            <wp:extent cx="142875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428750" cy="800100"/>
                    </a:xfrm>
                    <a:prstGeom prst="rect">
                      <a:avLst/>
                    </a:prstGeom>
                  </pic:spPr>
                </pic:pic>
              </a:graphicData>
            </a:graphic>
          </wp:inline>
        </w:drawing>
      </w:r>
    </w:p>
    <w:p>
      <w:pPr>
        <w:spacing w:after="1600"/>
      </w:pPr>
    </w:p>
    <w:p>
      <w:pPr>
        <w:spacing w:after="200"/>
      </w:pPr>
      <w:r>
        <w:rPr>
          <w:rFonts w:ascii="Calibri" w:cs="Calibri" w:eastAsia="Calibri" w:hAnsi="Calibri"/>
          <w:b/>
          <w:bCs/>
          <w:caps/>
          <w:color w:val="BD582C"/>
          <w:spacing w:val="20"/>
          <w:sz w:val="22"/>
          <w:szCs w:val="22"/>
        </w:rPr>
        <w:t xml:space="preserve">CUADERNILLO DE EJERCICIOS Y CASOS PRÁCTICOS</w:t>
      </w:r>
    </w:p>
    <w:p>
      <w:pPr>
        <w:spacing w:after="300"/>
      </w:pPr>
      <w:r>
        <w:rPr>
          <w:rFonts w:ascii="Cambria" w:cs="Cambria" w:eastAsia="Cambria" w:hAnsi="Cambria"/>
          <w:b/>
          <w:bCs/>
          <w:color w:val="010728"/>
          <w:sz w:val="56"/>
          <w:szCs w:val="56"/>
        </w:rPr>
        <w:t xml:space="preserve">Curso de Ciberseguridad</w:t>
      </w:r>
    </w:p>
    <w:p>
      <w:pPr>
        <w:spacing w:after="1600"/>
      </w:pPr>
      <w:r>
        <w:rPr>
          <w:rFonts w:ascii="Calibri" w:cs="Calibri" w:eastAsia="Calibri" w:hAnsi="Calibri"/>
          <w:i/>
          <w:iCs/>
          <w:color w:val="4D4D4D"/>
          <w:sz w:val="26"/>
          <w:szCs w:val="26"/>
        </w:rPr>
        <w:t xml:space="preserve">Actividades prácticas y casos aplicados de las 4 sesiones (módulos 5 a 8), con pautas de respuesta para la discusión.</w:t>
      </w:r>
    </w:p>
    <w:p>
      <w:pPr>
        <w:pBdr>
          <w:top w:val="single" w:color="BD582C" w:sz="6" w:space="8"/>
        </w:pBdr>
        <w:spacing w:before="200"/>
      </w:pPr>
      <w:r>
        <w:rPr>
          <w:rFonts w:ascii="Calibri" w:cs="Calibri" w:eastAsia="Calibri" w:hAnsi="Calibri"/>
          <w:color w:val="737373"/>
          <w:sz w:val="20"/>
          <w:szCs w:val="20"/>
        </w:rPr>
        <w:t xml:space="preserve">CENCAEP Capacita · Fundación San Marcos · Nivel básico–intermedio · 8 horas académicas (4 sesiones virtuales de 2 horas)</w:t>
      </w:r>
    </w:p>
    <w:p>
      <w:r>
        <w:br w:type="page"/>
      </w:r>
    </w:p>
    <w:p>
      <w:pPr>
        <w:pStyle w:val="Heading1"/>
      </w:pPr>
      <w:r>
        <w:t xml:space="preserve">Índice</w:t>
      </w:r>
    </w:p>
    <w:sdt>
      <w:sdtPr>
        <w:alias w:val="Índice"/>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BD582C" w:sz="4" w:space="4"/>
        </w:pBdr>
        <w:spacing w:after="200" w:before="300"/>
      </w:pPr>
      <w:r>
        <w:rPr>
          <w:rFonts w:ascii="Cambria" w:cs="Cambria" w:eastAsia="Cambria" w:hAnsi="Cambria"/>
          <w:b/>
          <w:bCs/>
          <w:color w:val="010728"/>
          <w:sz w:val="34"/>
          <w:szCs w:val="34"/>
        </w:rPr>
        <w:t xml:space="preserve">Cómo usar este cuadernillo</w:t>
      </w:r>
    </w:p>
    <w:p>
      <w:pPr>
        <w:spacing w:after="160" w:line="276"/>
        <w:jc w:val="both"/>
      </w:pPr>
      <w:r>
        <w:rPr>
          <w:rFonts w:ascii="Calibri" w:cs="Calibri" w:eastAsia="Calibri" w:hAnsi="Calibri"/>
          <w:color w:val="2B2B2B"/>
          <w:sz w:val="22"/>
          <w:szCs w:val="22"/>
        </w:rPr>
        <w:t xml:space="preserve">Este cuadernillo reúne todas las actividades prácticas y los casos aplicados de las cuatro sesiones del curso. Pueden completarlo durante la sesión en vivo, junto con el facilitador y sus compañeros, o de forma individual como repaso posterior. Cada actividad indica su duración sugerida y su modalidad de trabajo; los espacios en blanco están pensados para que anoten sus respuestas, ya sea de forma impresa o digital.</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Sobre las respuestas</w:t>
            </w:r>
          </w:p>
          <w:p>
            <w:pPr>
              <w:spacing w:line="264"/>
            </w:pPr>
            <w:r>
              <w:rPr>
                <w:rFonts w:ascii="Calibri" w:cs="Calibri" w:eastAsia="Calibri" w:hAnsi="Calibri"/>
                <w:i/>
                <w:iCs/>
                <w:color w:val="4D4D4D"/>
                <w:sz w:val="21"/>
                <w:szCs w:val="21"/>
              </w:rPr>
              <w:t xml:space="preserve">Al final del cuadernillo encontrarán una sección de "Pautas de respuesta y orientación para la discusión" con ideas clave para cada actividad y caso. No son respuestas únicas ni exhaustivas: su propósito es ayudarlos a contrastar su razonamiento, no reemplazarlo.</w:t>
            </w:r>
          </w:p>
        </w:tc>
      </w:tr>
    </w:tbl>
    <w:p>
      <w:r>
        <w:br w:type="page"/>
      </w:r>
    </w:p>
    <w:p>
      <w:pPr>
        <w:pStyle w:val="Heading1"/>
        <w:pBdr>
          <w:bottom w:val="single" w:color="BD582C" w:sz="4" w:space="4"/>
        </w:pBdr>
        <w:spacing w:after="200" w:before="300"/>
      </w:pPr>
      <w:r>
        <w:rPr>
          <w:rFonts w:ascii="Cambria" w:cs="Cambria" w:eastAsia="Cambria" w:hAnsi="Cambria"/>
          <w:b/>
          <w:bCs/>
          <w:color w:val="010728"/>
          <w:sz w:val="34"/>
          <w:szCs w:val="34"/>
        </w:rPr>
        <w:t xml:space="preserve">Sesión 1 · Módulo 5 — Protección de Datos Personales</w:t>
      </w:r>
    </w:p>
    <w:p>
      <w:pPr>
        <w:pStyle w:val="Heading2"/>
        <w:spacing w:after="140" w:before="260"/>
      </w:pPr>
      <w:r>
        <w:rPr>
          <w:rFonts w:ascii="Cambria" w:cs="Cambria" w:eastAsia="Cambria" w:hAnsi="Cambria"/>
          <w:b/>
          <w:bCs/>
          <w:color w:val="BD582C"/>
          <w:sz w:val="26"/>
          <w:szCs w:val="26"/>
        </w:rPr>
        <w:t xml:space="preserve">Actividad 1 — Identifiquemos el tipo de dato y su base legal</w:t>
      </w:r>
    </w:p>
    <w:p>
      <w:pPr>
        <w:spacing w:after="160"/>
      </w:pPr>
      <w:r>
        <w:rPr>
          <w:rFonts w:ascii="Calibri" w:cs="Calibri" w:eastAsia="Calibri" w:hAnsi="Calibri"/>
          <w:i/>
          <w:iCs/>
          <w:color w:val="737373"/>
          <w:sz w:val="20"/>
          <w:szCs w:val="20"/>
        </w:rPr>
        <w:t xml:space="preserve">Sesión: 1   ·   Duración sugerida: 10 min   ·   Modalidad: Individual, con puesta en común en el chat</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Distinguir dato personal de dato sensible y reconocer la base legal aplicable en un caso real.</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Lean el caso: el formulario de registro de una clínica dental solicita nombre, DNI, teléfono, correo, seguro de salud contratado y antecedentes médicos relevantes.</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Identifiquen qué datos del formulario son sensibles y cuáles no.</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Determinen si el consentimiento para tratar cada tipo de dato debe ser expreso o puede ser tácito.</w:t>
      </w:r>
    </w:p>
    <w:p>
      <w:pPr>
        <w:spacing w:after="120" w:line="264"/>
        <w:ind w:left="420" w:hanging="420"/>
      </w:pPr>
      <w:r>
        <w:rPr>
          <w:rFonts w:ascii="Calibri" w:cs="Calibri" w:eastAsia="Calibri" w:hAnsi="Calibri"/>
          <w:b/>
          <w:bCs/>
          <w:color w:val="BD582C"/>
          <w:sz w:val="22"/>
          <w:szCs w:val="22"/>
        </w:rPr>
        <w:t xml:space="preserve">4.	</w:t>
      </w:r>
      <w:r>
        <w:rPr>
          <w:rFonts w:ascii="Calibri" w:cs="Calibri" w:eastAsia="Calibri" w:hAnsi="Calibri"/>
          <w:color w:val="2B2B2B"/>
          <w:sz w:val="22"/>
          <w:szCs w:val="22"/>
        </w:rPr>
        <w:t xml:space="preserve">Anoten su conclusión en el espacio de trabajo.</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Actividad 2 — Mini auditoría exprés: checklist de cumplimiento</w:t>
      </w:r>
    </w:p>
    <w:p>
      <w:pPr>
        <w:spacing w:after="160"/>
      </w:pPr>
      <w:r>
        <w:rPr>
          <w:rFonts w:ascii="Calibri" w:cs="Calibri" w:eastAsia="Calibri" w:hAnsi="Calibri"/>
          <w:i/>
          <w:iCs/>
          <w:color w:val="737373"/>
          <w:sz w:val="20"/>
          <w:szCs w:val="20"/>
        </w:rPr>
        <w:t xml:space="preserve">Sesión: 1   ·   Duración sugerida: 10 min   ·   Modalidad: Individual, pensando en su propia organización</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Obtener una primera fotografía del nivel de cumplimiento y detectar 2 brechas prioritarias.</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¿Tienen inventariados los bancos de datos que tratan? Marquen: Sí / No / Parcial.</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¿Cuentan con una política de privacidad publicada y actualizada? Marquen: Sí / No / Parcial.</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¿Han designado, o evaluado designar, un Oficial de Datos Personales? Marquen: Sí / No / Parcial.</w:t>
      </w:r>
    </w:p>
    <w:p>
      <w:pPr>
        <w:spacing w:after="120" w:line="264"/>
        <w:ind w:left="420" w:hanging="420"/>
      </w:pPr>
      <w:r>
        <w:rPr>
          <w:rFonts w:ascii="Calibri" w:cs="Calibri" w:eastAsia="Calibri" w:hAnsi="Calibri"/>
          <w:b/>
          <w:bCs/>
          <w:color w:val="BD582C"/>
          <w:sz w:val="22"/>
          <w:szCs w:val="22"/>
        </w:rPr>
        <w:t xml:space="preserve">4.	</w:t>
      </w:r>
      <w:r>
        <w:rPr>
          <w:rFonts w:ascii="Calibri" w:cs="Calibri" w:eastAsia="Calibri" w:hAnsi="Calibri"/>
          <w:color w:val="2B2B2B"/>
          <w:sz w:val="22"/>
          <w:szCs w:val="22"/>
        </w:rPr>
        <w:t xml:space="preserve">¿Existe un procedimiento definido para notificar incidentes en 48 horas? Marquen: Sí / No / Parcial.</w:t>
      </w:r>
    </w:p>
    <w:p>
      <w:pPr>
        <w:spacing w:after="120" w:line="264"/>
        <w:ind w:left="420" w:hanging="420"/>
      </w:pPr>
      <w:r>
        <w:rPr>
          <w:rFonts w:ascii="Calibri" w:cs="Calibri" w:eastAsia="Calibri" w:hAnsi="Calibri"/>
          <w:b/>
          <w:bCs/>
          <w:color w:val="BD582C"/>
          <w:sz w:val="22"/>
          <w:szCs w:val="22"/>
        </w:rPr>
        <w:t xml:space="preserve">5.	</w:t>
      </w:r>
      <w:r>
        <w:rPr>
          <w:rFonts w:ascii="Calibri" w:cs="Calibri" w:eastAsia="Calibri" w:hAnsi="Calibri"/>
          <w:color w:val="2B2B2B"/>
          <w:sz w:val="22"/>
          <w:szCs w:val="22"/>
        </w:rPr>
        <w:t xml:space="preserve">Identifiquen las dos brechas ("No" o "Parcial") que consideran más urgentes de resolver.</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Caso práctico 1 — La fuga de datos de la clínica "San Rafael"</w:t>
      </w:r>
    </w:p>
    <w:p>
      <w:pPr>
        <w:spacing w:after="160"/>
      </w:pPr>
      <w:r>
        <w:rPr>
          <w:rFonts w:ascii="Calibri" w:cs="Calibri" w:eastAsia="Calibri" w:hAnsi="Calibri"/>
          <w:i/>
          <w:iCs/>
          <w:color w:val="737373"/>
          <w:sz w:val="20"/>
          <w:szCs w:val="20"/>
        </w:rPr>
        <w:t xml:space="preserve">Sesión: 1   ·   Caso aplicado — sector salud</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El caso</w:t>
            </w:r>
          </w:p>
          <w:p>
            <w:pPr>
              <w:spacing w:line="264"/>
            </w:pPr>
            <w:r>
              <w:rPr>
                <w:rFonts w:ascii="Calibri" w:cs="Calibri" w:eastAsia="Calibri" w:hAnsi="Calibri"/>
                <w:i/>
                <w:iCs/>
                <w:color w:val="4D4D4D"/>
                <w:sz w:val="21"/>
                <w:szCs w:val="21"/>
              </w:rPr>
              <w:t xml:space="preserve">Una clínica privada en Lima almacena las historias clínicas de sus pacientes en una hoja de cálculo compartida, sin contraseña, accesible para todo el personal administrativo. Un exempleado descarga la base de datos y la ofrece en venta a un tercero. Un paciente detecta que está recibiendo llamadas de un seguro que nunca contrató y presenta una queja.</w:t>
            </w:r>
          </w:p>
        </w:tc>
      </w:tr>
    </w:tbl>
    <w:p>
      <w:pPr>
        <w:spacing w:after="120"/>
      </w:pPr>
    </w:p>
    <w:p>
      <w:pPr>
        <w:pStyle w:val="Heading3"/>
        <w:spacing w:after="100" w:before="200"/>
      </w:pPr>
      <w:r>
        <w:rPr>
          <w:rFonts w:ascii="Calibri" w:cs="Calibri" w:eastAsia="Calibri" w:hAnsi="Calibri"/>
          <w:b/>
          <w:bCs/>
          <w:color w:val="2B2B2B"/>
          <w:sz w:val="23"/>
          <w:szCs w:val="23"/>
        </w:rPr>
        <w:t xml:space="preserve">Preguntas para el análisis</w:t>
      </w:r>
    </w:p>
    <w:p>
      <w:pPr>
        <w:spacing w:after="160" w:line="276"/>
        <w:jc w:val="both"/>
      </w:pPr>
      <w:r>
        <w:rPr>
          <w:rFonts w:ascii="Calibri" w:cs="Calibri" w:eastAsia="Calibri" w:hAnsi="Calibri"/>
          <w:color w:val="2B2B2B"/>
          <w:sz w:val="22"/>
          <w:szCs w:val="22"/>
        </w:rPr>
        <w:t xml:space="preserve">1. ¿Qué principios de protección de datos incumplió la clínica?</w:t>
      </w:r>
    </w:p>
    <w:p>
      <w:pPr>
        <w:pBdr>
          <w:bottom w:val="single" w:color="CCCCCC" w:sz="4" w:space="1"/>
        </w:pBdr>
        <w:spacing w:after="260"/>
      </w:pPr>
    </w:p>
    <w:p>
      <w:pPr>
        <w:pBdr>
          <w:bottom w:val="single" w:color="CCCCCC" w:sz="4" w:space="1"/>
        </w:pBdr>
        <w:spacing w:after="260"/>
      </w:pPr>
    </w:p>
    <w:p>
      <w:pPr>
        <w:spacing w:after="160" w:line="276"/>
        <w:jc w:val="both"/>
      </w:pPr>
      <w:r>
        <w:rPr>
          <w:rFonts w:ascii="Calibri" w:cs="Calibri" w:eastAsia="Calibri" w:hAnsi="Calibri"/>
          <w:color w:val="2B2B2B"/>
          <w:sz w:val="22"/>
          <w:szCs w:val="22"/>
        </w:rPr>
        <w:t xml:space="preserve">2. ¿Debía notificar el incidente a la ANPD y a los pacientes? ¿En qué plazo?</w:t>
      </w:r>
    </w:p>
    <w:p>
      <w:pPr>
        <w:pBdr>
          <w:bottom w:val="single" w:color="CCCCCC" w:sz="4" w:space="1"/>
        </w:pBdr>
        <w:spacing w:after="260"/>
      </w:pPr>
    </w:p>
    <w:p>
      <w:pPr>
        <w:pBdr>
          <w:bottom w:val="single" w:color="CCCCCC" w:sz="4" w:space="1"/>
        </w:pBdr>
        <w:spacing w:after="260"/>
      </w:pPr>
    </w:p>
    <w:p>
      <w:pPr>
        <w:spacing w:after="160" w:line="276"/>
        <w:jc w:val="both"/>
      </w:pPr>
      <w:r>
        <w:rPr>
          <w:rFonts w:ascii="Calibri" w:cs="Calibri" w:eastAsia="Calibri" w:hAnsi="Calibri"/>
          <w:color w:val="2B2B2B"/>
          <w:sz w:val="22"/>
          <w:szCs w:val="22"/>
        </w:rPr>
        <w:t xml:space="preserve">3. ¿Qué medida de gestión segura de la información hubiera evitado este escenario?</w:t>
      </w:r>
    </w:p>
    <w:p>
      <w:pPr>
        <w:pBdr>
          <w:bottom w:val="single" w:color="CCCCCC" w:sz="4" w:space="1"/>
        </w:pBdr>
        <w:spacing w:after="260"/>
      </w:pPr>
    </w:p>
    <w:p>
      <w:pPr>
        <w:pBdr>
          <w:bottom w:val="single" w:color="CCCCCC" w:sz="4" w:space="1"/>
        </w:pBdr>
        <w:spacing w:after="260"/>
      </w:pPr>
    </w:p>
    <w:p>
      <w:r>
        <w:br w:type="page"/>
      </w:r>
    </w:p>
    <w:p>
      <w:pPr>
        <w:pStyle w:val="Heading1"/>
        <w:pBdr>
          <w:bottom w:val="single" w:color="BD582C" w:sz="4" w:space="4"/>
        </w:pBdr>
        <w:spacing w:after="200" w:before="300"/>
      </w:pPr>
      <w:r>
        <w:rPr>
          <w:rFonts w:ascii="Cambria" w:cs="Cambria" w:eastAsia="Cambria" w:hAnsi="Cambria"/>
          <w:b/>
          <w:bCs/>
          <w:color w:val="010728"/>
          <w:sz w:val="34"/>
          <w:szCs w:val="34"/>
        </w:rPr>
        <w:t xml:space="preserve">Sesión 2 · Módulo 6 — Gestión de Incidentes, Continuidad y Resiliencia</w:t>
      </w:r>
    </w:p>
    <w:p>
      <w:pPr>
        <w:pStyle w:val="Heading2"/>
        <w:spacing w:after="140" w:before="260"/>
      </w:pPr>
      <w:r>
        <w:rPr>
          <w:rFonts w:ascii="Cambria" w:cs="Cambria" w:eastAsia="Cambria" w:hAnsi="Cambria"/>
          <w:b/>
          <w:bCs/>
          <w:color w:val="BD582C"/>
          <w:sz w:val="26"/>
          <w:szCs w:val="26"/>
        </w:rPr>
        <w:t xml:space="preserve">Actividad 3 — Clasifiquemos incidentes por severidad</w:t>
      </w:r>
    </w:p>
    <w:p>
      <w:pPr>
        <w:spacing w:after="160"/>
      </w:pPr>
      <w:r>
        <w:rPr>
          <w:rFonts w:ascii="Calibri" w:cs="Calibri" w:eastAsia="Calibri" w:hAnsi="Calibri"/>
          <w:i/>
          <w:iCs/>
          <w:color w:val="737373"/>
          <w:sz w:val="20"/>
          <w:szCs w:val="20"/>
        </w:rPr>
        <w:t xml:space="preserve">Sesión: 2   ·   Duración sugerida: 8 min   ·   Modalidad: Individual, con puesta en común en el chat</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Practicar el criterio de severidad para priorizar la respuesta ante distintos escenarios.</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Analicen estos cuatro escenarios: (a) phishing recibido pero sin clic; (b) ransomware detectado en un servidor de producción; (c) un empleado pierde su laptop, que estaba cifrada; (d) filtración de una base de datos de clientes.</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Asignen a cada uno un nivel de severidad: baja, media, alta o crítica.</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Anoten el criterio que usaron para decidir (impacto, alcance, tipo de dato afectado).</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Actividad 4 — Calculemos el RTO y el RPO de un proceso crítico</w:t>
      </w:r>
    </w:p>
    <w:p>
      <w:pPr>
        <w:spacing w:after="160"/>
      </w:pPr>
      <w:r>
        <w:rPr>
          <w:rFonts w:ascii="Calibri" w:cs="Calibri" w:eastAsia="Calibri" w:hAnsi="Calibri"/>
          <w:i/>
          <w:iCs/>
          <w:color w:val="737373"/>
          <w:sz w:val="20"/>
          <w:szCs w:val="20"/>
        </w:rPr>
        <w:t xml:space="preserve">Sesión: 2   ·   Duración sugerida: 12 min   ·   Modalidad: Individual o en parejas</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Aplicar los conceptos de RTO y RPO a un proceso real de su organización.</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Elijan un proceso crítico de su organización (por ejemplo, facturación o atención al cliente).</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Estimen cuánto tiempo de interrupción sería tolerable antes de un daño grave: ese es su RTO.</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Estimen cuántas horas de datos podrían perder sin consecuencias graves: ese es su RPO.</w:t>
      </w:r>
    </w:p>
    <w:p>
      <w:pPr>
        <w:spacing w:after="120" w:line="264"/>
        <w:ind w:left="420" w:hanging="420"/>
      </w:pPr>
      <w:r>
        <w:rPr>
          <w:rFonts w:ascii="Calibri" w:cs="Calibri" w:eastAsia="Calibri" w:hAnsi="Calibri"/>
          <w:b/>
          <w:bCs/>
          <w:color w:val="BD582C"/>
          <w:sz w:val="22"/>
          <w:szCs w:val="22"/>
        </w:rPr>
        <w:t xml:space="preserve">4.	</w:t>
      </w:r>
      <w:r>
        <w:rPr>
          <w:rFonts w:ascii="Calibri" w:cs="Calibri" w:eastAsia="Calibri" w:hAnsi="Calibri"/>
          <w:color w:val="2B2B2B"/>
          <w:sz w:val="22"/>
          <w:szCs w:val="22"/>
        </w:rPr>
        <w:t xml:space="preserve">Comparen: ¿su capacidad actual de respaldo y recuperación cumple con esos objetivos?</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Caso práctico 2 — Ransomware en "Comercial Andina S.A.C."</w:t>
      </w:r>
    </w:p>
    <w:p>
      <w:pPr>
        <w:spacing w:after="160"/>
      </w:pPr>
      <w:r>
        <w:rPr>
          <w:rFonts w:ascii="Calibri" w:cs="Calibri" w:eastAsia="Calibri" w:hAnsi="Calibri"/>
          <w:i/>
          <w:iCs/>
          <w:color w:val="737373"/>
          <w:sz w:val="20"/>
          <w:szCs w:val="20"/>
        </w:rPr>
        <w:t xml:space="preserve">Sesión: 2   ·   Caso integrador — decisión bajo presión</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El caso</w:t>
            </w:r>
          </w:p>
          <w:p>
            <w:pPr>
              <w:spacing w:line="264"/>
            </w:pPr>
            <w:r>
              <w:rPr>
                <w:rFonts w:ascii="Calibri" w:cs="Calibri" w:eastAsia="Calibri" w:hAnsi="Calibri"/>
                <w:i/>
                <w:iCs/>
                <w:color w:val="4D4D4D"/>
                <w:sz w:val="21"/>
                <w:szCs w:val="21"/>
              </w:rPr>
              <w:t xml:space="preserve">Un lunes a las 7:00 a.m., el equipo de sistemas de una empresa de distribución detecta que los archivos del servidor de ventas están cifrados y aparece una nota de rescate exigiendo pago en criptomonedas. El sistema de facturación está caído. La última copia de respaldo verificada tiene 36 horas de antigüedad. Los atacantes amenazan con publicar datos de clientes si no se paga en 72 horas.</w:t>
            </w:r>
          </w:p>
        </w:tc>
      </w:tr>
    </w:tbl>
    <w:p>
      <w:pPr>
        <w:spacing w:after="120"/>
      </w:pPr>
    </w:p>
    <w:p>
      <w:pPr>
        <w:pStyle w:val="Heading3"/>
        <w:spacing w:after="100" w:before="200"/>
      </w:pPr>
      <w:r>
        <w:rPr>
          <w:rFonts w:ascii="Calibri" w:cs="Calibri" w:eastAsia="Calibri" w:hAnsi="Calibri"/>
          <w:b/>
          <w:bCs/>
          <w:color w:val="2B2B2B"/>
          <w:sz w:val="23"/>
          <w:szCs w:val="23"/>
        </w:rPr>
        <w:t xml:space="preserve">Preguntas para el análisis</w:t>
      </w:r>
    </w:p>
    <w:p>
      <w:pPr>
        <w:spacing w:after="160" w:line="276"/>
        <w:jc w:val="both"/>
      </w:pPr>
      <w:r>
        <w:rPr>
          <w:rFonts w:ascii="Calibri" w:cs="Calibri" w:eastAsia="Calibri" w:hAnsi="Calibri"/>
          <w:color w:val="2B2B2B"/>
          <w:sz w:val="22"/>
          <w:szCs w:val="22"/>
        </w:rPr>
        <w:t xml:space="preserve">1. ¿Cuáles son los primeros tres pasos del equipo de respuesta a incidentes?</w:t>
      </w:r>
    </w:p>
    <w:p>
      <w:pPr>
        <w:pBdr>
          <w:bottom w:val="single" w:color="CCCCCC" w:sz="4" w:space="1"/>
        </w:pBdr>
        <w:spacing w:after="260"/>
      </w:pPr>
    </w:p>
    <w:p>
      <w:pPr>
        <w:pBdr>
          <w:bottom w:val="single" w:color="CCCCCC" w:sz="4" w:space="1"/>
        </w:pBdr>
        <w:spacing w:after="260"/>
      </w:pPr>
    </w:p>
    <w:p>
      <w:pPr>
        <w:spacing w:after="160" w:line="276"/>
        <w:jc w:val="both"/>
      </w:pPr>
      <w:r>
        <w:rPr>
          <w:rFonts w:ascii="Calibri" w:cs="Calibri" w:eastAsia="Calibri" w:hAnsi="Calibri"/>
          <w:color w:val="2B2B2B"/>
          <w:sz w:val="22"/>
          <w:szCs w:val="22"/>
        </w:rPr>
        <w:t xml:space="preserve">2. ¿La empresa debería pagar el rescate? ¿Qué factores deben considerar?</w:t>
      </w:r>
    </w:p>
    <w:p>
      <w:pPr>
        <w:pBdr>
          <w:bottom w:val="single" w:color="CCCCCC" w:sz="4" w:space="1"/>
        </w:pBdr>
        <w:spacing w:after="260"/>
      </w:pPr>
    </w:p>
    <w:p>
      <w:pPr>
        <w:pBdr>
          <w:bottom w:val="single" w:color="CCCCCC" w:sz="4" w:space="1"/>
        </w:pBdr>
        <w:spacing w:after="260"/>
      </w:pPr>
    </w:p>
    <w:p>
      <w:pPr>
        <w:spacing w:after="160" w:line="276"/>
        <w:jc w:val="both"/>
      </w:pPr>
      <w:r>
        <w:rPr>
          <w:rFonts w:ascii="Calibri" w:cs="Calibri" w:eastAsia="Calibri" w:hAnsi="Calibri"/>
          <w:color w:val="2B2B2B"/>
          <w:sz w:val="22"/>
          <w:szCs w:val="22"/>
        </w:rPr>
        <w:t xml:space="preserve">3. ¿Qué rol cumplen aquí el RTO/RPO definidos previamente y el plan de comunicación de crisis?</w:t>
      </w:r>
    </w:p>
    <w:p>
      <w:pPr>
        <w:pBdr>
          <w:bottom w:val="single" w:color="CCCCCC" w:sz="4" w:space="1"/>
        </w:pBdr>
        <w:spacing w:after="260"/>
      </w:pPr>
    </w:p>
    <w:p>
      <w:pPr>
        <w:pBdr>
          <w:bottom w:val="single" w:color="CCCCCC" w:sz="4" w:space="1"/>
        </w:pBdr>
        <w:spacing w:after="260"/>
      </w:pPr>
    </w:p>
    <w:p>
      <w:r>
        <w:br w:type="page"/>
      </w:r>
    </w:p>
    <w:p>
      <w:pPr>
        <w:pStyle w:val="Heading1"/>
        <w:pBdr>
          <w:bottom w:val="single" w:color="BD582C" w:sz="4" w:space="4"/>
        </w:pBdr>
        <w:spacing w:after="200" w:before="300"/>
      </w:pPr>
      <w:r>
        <w:rPr>
          <w:rFonts w:ascii="Cambria" w:cs="Cambria" w:eastAsia="Cambria" w:hAnsi="Cambria"/>
          <w:b/>
          <w:bCs/>
          <w:color w:val="010728"/>
          <w:sz w:val="34"/>
          <w:szCs w:val="34"/>
        </w:rPr>
        <w:t xml:space="preserve">Sesión 3 · Módulo 7 — IA Aplicada a la Ciberseguridad</w:t>
      </w:r>
    </w:p>
    <w:p>
      <w:pPr>
        <w:pStyle w:val="Heading2"/>
        <w:spacing w:after="140" w:before="260"/>
      </w:pPr>
      <w:r>
        <w:rPr>
          <w:rFonts w:ascii="Cambria" w:cs="Cambria" w:eastAsia="Cambria" w:hAnsi="Cambria"/>
          <w:b/>
          <w:bCs/>
          <w:color w:val="BD582C"/>
          <w:sz w:val="26"/>
          <w:szCs w:val="26"/>
        </w:rPr>
        <w:t xml:space="preserve">Actividad 5 — Alerta generada por IA: ¿verdadero positivo o falso positivo?</w:t>
      </w:r>
    </w:p>
    <w:p>
      <w:pPr>
        <w:spacing w:after="160"/>
      </w:pPr>
      <w:r>
        <w:rPr>
          <w:rFonts w:ascii="Calibri" w:cs="Calibri" w:eastAsia="Calibri" w:hAnsi="Calibri"/>
          <w:i/>
          <w:iCs/>
          <w:color w:val="737373"/>
          <w:sz w:val="20"/>
          <w:szCs w:val="20"/>
        </w:rPr>
        <w:t xml:space="preserve">Sesión: 3   ·   Duración sugerida: 10 min   ·   Modalidad: Individual, con puesta en común en el chat</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Practicar el criterio para evaluar una alerta antes de escalarla o descartarla.</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Analicen esta alerta de un sistema UEBA: un usuario descargó 500 archivos a las 2:00 a.m. desde una ubicación inusual.</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Anoten qué información adicional necesitarían antes de decidir.</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Definan si la tratarían como incidente o como falso positivo, y por qué.</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Actividad 6 — Diseñemos el protocolo antifraude de su organización</w:t>
      </w:r>
    </w:p>
    <w:p>
      <w:pPr>
        <w:spacing w:after="160"/>
      </w:pPr>
      <w:r>
        <w:rPr>
          <w:rFonts w:ascii="Calibri" w:cs="Calibri" w:eastAsia="Calibri" w:hAnsi="Calibri"/>
          <w:i/>
          <w:iCs/>
          <w:color w:val="737373"/>
          <w:sz w:val="20"/>
          <w:szCs w:val="20"/>
        </w:rPr>
        <w:t xml:space="preserve">Sesión: 3   ·   Duración sugerida: 10 min   ·   Modalidad: Individual · Aplicable de inmediato</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Salir de la sesión con una regla concreta que su organización pueda adoptar esta semana.</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Relean el audio del caso de apertura: el gerente pide, por WhatsApp desde un número desconocido, una transferencia urgente y confidencial a un proveedor nuevo. Identifiquen las señales de alerta presentes.</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Definan el monto a partir del cual una transferencia exige doble aprobación.</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Definan el canal alterno de verificación: ¿a qué número o persona se llama para confirmar?</w:t>
      </w:r>
    </w:p>
    <w:p>
      <w:pPr>
        <w:spacing w:after="120" w:line="264"/>
        <w:ind w:left="420" w:hanging="420"/>
      </w:pPr>
      <w:r>
        <w:rPr>
          <w:rFonts w:ascii="Calibri" w:cs="Calibri" w:eastAsia="Calibri" w:hAnsi="Calibri"/>
          <w:b/>
          <w:bCs/>
          <w:color w:val="BD582C"/>
          <w:sz w:val="22"/>
          <w:szCs w:val="22"/>
        </w:rPr>
        <w:t xml:space="preserve">4.	</w:t>
      </w:r>
      <w:r>
        <w:rPr>
          <w:rFonts w:ascii="Calibri" w:cs="Calibri" w:eastAsia="Calibri" w:hAnsi="Calibri"/>
          <w:color w:val="2B2B2B"/>
          <w:sz w:val="22"/>
          <w:szCs w:val="22"/>
        </w:rPr>
        <w:t xml:space="preserve">Definan qué hacer si el solicitante presiona con urgencia o pide confidencialidad.</w:t>
      </w:r>
    </w:p>
    <w:p>
      <w:pPr>
        <w:spacing w:after="120" w:line="264"/>
        <w:ind w:left="420" w:hanging="420"/>
      </w:pPr>
      <w:r>
        <w:rPr>
          <w:rFonts w:ascii="Calibri" w:cs="Calibri" w:eastAsia="Calibri" w:hAnsi="Calibri"/>
          <w:b/>
          <w:bCs/>
          <w:color w:val="BD582C"/>
          <w:sz w:val="22"/>
          <w:szCs w:val="22"/>
        </w:rPr>
        <w:t xml:space="preserve">5.	</w:t>
      </w:r>
      <w:r>
        <w:rPr>
          <w:rFonts w:ascii="Calibri" w:cs="Calibri" w:eastAsia="Calibri" w:hAnsi="Calibri"/>
          <w:color w:val="2B2B2B"/>
          <w:sz w:val="22"/>
          <w:szCs w:val="22"/>
        </w:rPr>
        <w:t xml:space="preserve">Escriban esas tres reglas en una frase cada una: ese es su protocolo mínimo.</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Caso práctico 3 — ¿Adoptamos esta herramienta de IA para atención al cliente?</w:t>
      </w:r>
    </w:p>
    <w:p>
      <w:pPr>
        <w:spacing w:after="160"/>
      </w:pPr>
      <w:r>
        <w:rPr>
          <w:rFonts w:ascii="Calibri" w:cs="Calibri" w:eastAsia="Calibri" w:hAnsi="Calibri"/>
          <w:i/>
          <w:iCs/>
          <w:color w:val="737373"/>
          <w:sz w:val="20"/>
          <w:szCs w:val="20"/>
        </w:rPr>
        <w:t xml:space="preserve">Sesión: 3   ·   Caso integrador — evaluación de riesgo antes de adoptar IA</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El caso</w:t>
            </w:r>
          </w:p>
          <w:p>
            <w:pPr>
              <w:spacing w:line="264"/>
            </w:pPr>
            <w:r>
              <w:rPr>
                <w:rFonts w:ascii="Calibri" w:cs="Calibri" w:eastAsia="Calibri" w:hAnsi="Calibri"/>
                <w:i/>
                <w:iCs/>
                <w:color w:val="4D4D4D"/>
                <w:sz w:val="21"/>
                <w:szCs w:val="21"/>
              </w:rPr>
              <w:t xml:space="preserve">El área comercial de una empresa peruana propone contratar un chatbot con IA generativa, entrenado con las conversaciones históricas de soporte, para responder consultas de clientes automáticamente, incluyendo datos de sus pedidos y pagos.</w:t>
            </w:r>
          </w:p>
        </w:tc>
      </w:tr>
    </w:tbl>
    <w:p>
      <w:pPr>
        <w:spacing w:after="120"/>
      </w:pPr>
    </w:p>
    <w:p>
      <w:pPr>
        <w:pStyle w:val="Heading3"/>
        <w:spacing w:after="100" w:before="200"/>
      </w:pPr>
      <w:r>
        <w:rPr>
          <w:rFonts w:ascii="Calibri" w:cs="Calibri" w:eastAsia="Calibri" w:hAnsi="Calibri"/>
          <w:b/>
          <w:bCs/>
          <w:color w:val="2B2B2B"/>
          <w:sz w:val="23"/>
          <w:szCs w:val="23"/>
        </w:rPr>
        <w:t xml:space="preserve">Preguntas para el análisis</w:t>
      </w:r>
    </w:p>
    <w:p>
      <w:pPr>
        <w:spacing w:after="160" w:line="276"/>
        <w:jc w:val="both"/>
      </w:pPr>
      <w:r>
        <w:rPr>
          <w:rFonts w:ascii="Calibri" w:cs="Calibri" w:eastAsia="Calibri" w:hAnsi="Calibri"/>
          <w:color w:val="2B2B2B"/>
          <w:sz w:val="22"/>
          <w:szCs w:val="22"/>
        </w:rPr>
        <w:t xml:space="preserve">1. ¿Qué principios de IA responsable y de protección de datos deben evaluarse antes de aprobar esta herramienta?</w:t>
      </w:r>
    </w:p>
    <w:p>
      <w:pPr>
        <w:pBdr>
          <w:bottom w:val="single" w:color="CCCCCC" w:sz="4" w:space="1"/>
        </w:pBdr>
        <w:spacing w:after="260"/>
      </w:pPr>
    </w:p>
    <w:p>
      <w:pPr>
        <w:pBdr>
          <w:bottom w:val="single" w:color="CCCCCC" w:sz="4" w:space="1"/>
        </w:pBdr>
        <w:spacing w:after="260"/>
      </w:pPr>
    </w:p>
    <w:p>
      <w:pPr>
        <w:spacing w:after="160" w:line="276"/>
        <w:jc w:val="both"/>
      </w:pPr>
      <w:r>
        <w:rPr>
          <w:rFonts w:ascii="Calibri" w:cs="Calibri" w:eastAsia="Calibri" w:hAnsi="Calibri"/>
          <w:color w:val="2B2B2B"/>
          <w:sz w:val="22"/>
          <w:szCs w:val="22"/>
        </w:rPr>
        <w:t xml:space="preserve">2. ¿Qué riesgos de seguridad propios de la IA aplican a este caso?</w:t>
      </w:r>
    </w:p>
    <w:p>
      <w:pPr>
        <w:pBdr>
          <w:bottom w:val="single" w:color="CCCCCC" w:sz="4" w:space="1"/>
        </w:pBdr>
        <w:spacing w:after="260"/>
      </w:pPr>
    </w:p>
    <w:p>
      <w:pPr>
        <w:pBdr>
          <w:bottom w:val="single" w:color="CCCCCC" w:sz="4" w:space="1"/>
        </w:pBdr>
        <w:spacing w:after="260"/>
      </w:pPr>
    </w:p>
    <w:p>
      <w:pPr>
        <w:spacing w:after="160" w:line="276"/>
        <w:jc w:val="both"/>
      </w:pPr>
      <w:r>
        <w:rPr>
          <w:rFonts w:ascii="Calibri" w:cs="Calibri" w:eastAsia="Calibri" w:hAnsi="Calibri"/>
          <w:color w:val="2B2B2B"/>
          <w:sz w:val="22"/>
          <w:szCs w:val="22"/>
        </w:rPr>
        <w:t xml:space="preserve">3. ¿Qué condiciones (supervisión humana, transparencia, contrato con el proveedor) recomendarían exigir?</w:t>
      </w:r>
    </w:p>
    <w:p>
      <w:pPr>
        <w:pBdr>
          <w:bottom w:val="single" w:color="CCCCCC" w:sz="4" w:space="1"/>
        </w:pBdr>
        <w:spacing w:after="260"/>
      </w:pPr>
    </w:p>
    <w:p>
      <w:pPr>
        <w:pBdr>
          <w:bottom w:val="single" w:color="CCCCCC" w:sz="4" w:space="1"/>
        </w:pBdr>
        <w:spacing w:after="260"/>
      </w:pPr>
    </w:p>
    <w:p>
      <w:r>
        <w:br w:type="page"/>
      </w:r>
    </w:p>
    <w:p>
      <w:pPr>
        <w:pStyle w:val="Heading1"/>
        <w:pBdr>
          <w:bottom w:val="single" w:color="BD582C" w:sz="4" w:space="4"/>
        </w:pBdr>
        <w:spacing w:after="200" w:before="300"/>
      </w:pPr>
      <w:r>
        <w:rPr>
          <w:rFonts w:ascii="Cambria" w:cs="Cambria" w:eastAsia="Cambria" w:hAnsi="Cambria"/>
          <w:b/>
          <w:bCs/>
          <w:color w:val="010728"/>
          <w:sz w:val="34"/>
          <w:szCs w:val="34"/>
        </w:rPr>
        <w:t xml:space="preserve">Sesión 4 · Módulo 8 — Proyecto de Gestión de la Ciberseguridad y Privacidad</w:t>
      </w:r>
    </w:p>
    <w:p>
      <w:pPr>
        <w:pStyle w:val="Heading2"/>
        <w:spacing w:after="140" w:before="260"/>
      </w:pPr>
      <w:r>
        <w:rPr>
          <w:rFonts w:ascii="Cambria" w:cs="Cambria" w:eastAsia="Cambria" w:hAnsi="Cambria"/>
          <w:b/>
          <w:bCs/>
          <w:color w:val="BD582C"/>
          <w:sz w:val="26"/>
          <w:szCs w:val="26"/>
        </w:rPr>
        <w:t xml:space="preserve">Actividad 7 — Autodiagnóstico rápido de madurez</w:t>
      </w:r>
    </w:p>
    <w:p>
      <w:pPr>
        <w:spacing w:after="160"/>
      </w:pPr>
      <w:r>
        <w:rPr>
          <w:rFonts w:ascii="Calibri" w:cs="Calibri" w:eastAsia="Calibri" w:hAnsi="Calibri"/>
          <w:i/>
          <w:iCs/>
          <w:color w:val="737373"/>
          <w:sz w:val="20"/>
          <w:szCs w:val="20"/>
        </w:rPr>
        <w:t xml:space="preserve">Sesión: 4   ·   Duración sugerida: 15 min   ·   Modalidad: Individual, pensando en su propia organización</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Obtener una primera fotografía de madurez en cinco dominios clave, como insumo del proyecto final.</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Califiquen del 1 (inicial) al 4 (gestionado) estos cinco dominios: gobierno y políticas, protección de datos, gestión de incidentes, continuidad del negocio, y concientización del personal.</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Marquen el dominio con la calificación más baja: será su prioridad de intervención.</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Anoten una evidencia concreta que sustente cada calificación (un documento, una práctica, o su ausencia).</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Actividad 8 — Construyamos una matriz de riesgos</w:t>
      </w:r>
    </w:p>
    <w:p>
      <w:pPr>
        <w:spacing w:after="160"/>
      </w:pPr>
      <w:r>
        <w:rPr>
          <w:rFonts w:ascii="Calibri" w:cs="Calibri" w:eastAsia="Calibri" w:hAnsi="Calibri"/>
          <w:i/>
          <w:iCs/>
          <w:color w:val="737373"/>
          <w:sz w:val="20"/>
          <w:szCs w:val="20"/>
        </w:rPr>
        <w:t xml:space="preserve">Sesión: 4   ·   Duración sugerida: 15 min   ·   Modalidad: Individual o en grupos pequeños</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Practicar la priorización de riesgos como paso previo a definir la estrategia.</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A partir de su autodiagnóstico anterior, listen 4 riesgos concretos (por ejemplo: fuga de datos de clientes, ransomware, caída del proveedor de nube, error humano en el manejo de información sensible).</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Para cada uno, estimen probabilidad (baja/media/alta) e impacto (bajo/medio/alto).</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Marquen cuáles quedarían como "altos" o "críticos" en una matriz 3x3.</w:t>
      </w:r>
    </w:p>
    <w:p>
      <w:pPr>
        <w:spacing w:after="120" w:line="264"/>
        <w:ind w:left="420" w:hanging="420"/>
      </w:pPr>
      <w:r>
        <w:rPr>
          <w:rFonts w:ascii="Calibri" w:cs="Calibri" w:eastAsia="Calibri" w:hAnsi="Calibri"/>
          <w:b/>
          <w:bCs/>
          <w:color w:val="BD582C"/>
          <w:sz w:val="22"/>
          <w:szCs w:val="22"/>
        </w:rPr>
        <w:t xml:space="preserve">4.	</w:t>
      </w:r>
      <w:r>
        <w:rPr>
          <w:rFonts w:ascii="Calibri" w:cs="Calibri" w:eastAsia="Calibri" w:hAnsi="Calibri"/>
          <w:color w:val="2B2B2B"/>
          <w:sz w:val="22"/>
          <w:szCs w:val="22"/>
        </w:rPr>
        <w:t xml:space="preserve">Elijan el riesgo más crítico: lo retomarán en la actividad del proyecto final.</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Style w:val="Heading2"/>
        <w:spacing w:after="140" w:before="260"/>
      </w:pPr>
      <w:r>
        <w:rPr>
          <w:rFonts w:ascii="Cambria" w:cs="Cambria" w:eastAsia="Cambria" w:hAnsi="Cambria"/>
          <w:b/>
          <w:bCs/>
          <w:color w:val="BD582C"/>
          <w:sz w:val="26"/>
          <w:szCs w:val="26"/>
        </w:rPr>
        <w:t xml:space="preserve">Actividad 9 — Taller final: armemos el proyecto de gestión de ciberseguridad y privacidad</w:t>
      </w:r>
    </w:p>
    <w:p>
      <w:pPr>
        <w:spacing w:after="160"/>
      </w:pPr>
      <w:r>
        <w:rPr>
          <w:rFonts w:ascii="Calibri" w:cs="Calibri" w:eastAsia="Calibri" w:hAnsi="Calibri"/>
          <w:i/>
          <w:iCs/>
          <w:color w:val="737373"/>
          <w:sz w:val="20"/>
          <w:szCs w:val="20"/>
        </w:rPr>
        <w:t xml:space="preserve">Sesión: 4   ·   Duración sugerida: 25 min   ·   Modalidad: Individual, guiado por el facilitador, con consultas abiertas en el chat</w:t>
      </w:r>
    </w:p>
    <w:tbl>
      <w:tblPr>
        <w:tblW w:type="pct" w:w="100%"/>
        <w:tblBorders>
          <w:top w:val="single" w:color="BD582C" w:sz="4"/>
          <w:left w:val="single" w:color="BD582C" w:sz="4"/>
          <w:bottom w:val="single" w:color="BD582C" w:sz="4"/>
          <w:right w:val="single" w:color="BD582C" w:sz="4"/>
          <w:insideH w:val="none" w:color="FFFFFF" w:sz="0"/>
          <w:insideV w:val="none" w:color="FFFFFF" w:sz="0"/>
        </w:tblBorders>
      </w:tblPr>
      <w:tblGrid>
        <w:gridCol w:w="100"/>
      </w:tblGrid>
      <w:tr>
        <w:tc>
          <w:tcPr>
            <w:shd w:fill="F2F2F2" w:val="clear"/>
            <w:tcMar>
              <w:top w:type="dxa" w:w="160"/>
              <w:left w:type="dxa" w:w="200"/>
              <w:bottom w:type="dxa" w:w="160"/>
              <w:right w:type="dxa" w:w="200"/>
            </w:tcMar>
          </w:tcPr>
          <w:p>
            <w:pPr>
              <w:spacing w:after="60"/>
            </w:pPr>
            <w:r>
              <w:rPr>
                <w:rFonts w:ascii="Calibri" w:cs="Calibri" w:eastAsia="Calibri" w:hAnsi="Calibri"/>
                <w:b/>
                <w:bCs/>
                <w:caps/>
                <w:color w:val="BD582C"/>
                <w:spacing w:val="10"/>
                <w:sz w:val="20"/>
                <w:szCs w:val="20"/>
              </w:rPr>
              <w:t xml:space="preserve">Meta de la actividad</w:t>
            </w:r>
          </w:p>
          <w:p>
            <w:pPr>
              <w:spacing w:line="264"/>
            </w:pPr>
            <w:r>
              <w:rPr>
                <w:rFonts w:ascii="Calibri" w:cs="Calibri" w:eastAsia="Calibri" w:hAnsi="Calibri"/>
                <w:i/>
                <w:iCs/>
                <w:color w:val="4D4D4D"/>
                <w:sz w:val="21"/>
                <w:szCs w:val="21"/>
              </w:rPr>
              <w:t xml:space="preserve">Dejar un primer borrador completo del proyecto final, listo para pulir después de la sesión.</w:t>
            </w:r>
          </w:p>
        </w:tc>
      </w:tr>
    </w:tbl>
    <w:p>
      <w:pPr>
        <w:spacing w:after="120"/>
      </w:pPr>
    </w:p>
    <w:p>
      <w:pPr>
        <w:pStyle w:val="Heading3"/>
        <w:spacing w:after="100" w:before="200"/>
      </w:pPr>
      <w:r>
        <w:rPr>
          <w:rFonts w:ascii="Calibri" w:cs="Calibri" w:eastAsia="Calibri" w:hAnsi="Calibri"/>
          <w:b/>
          <w:bCs/>
          <w:color w:val="2B2B2B"/>
          <w:sz w:val="23"/>
          <w:szCs w:val="23"/>
        </w:rPr>
        <w:t xml:space="preserve">Instrucciones</w:t>
      </w:r>
    </w:p>
    <w:p>
      <w:pPr>
        <w:spacing w:after="120" w:line="264"/>
        <w:ind w:left="420" w:hanging="420"/>
      </w:pPr>
      <w:r>
        <w:rPr>
          <w:rFonts w:ascii="Calibri" w:cs="Calibri" w:eastAsia="Calibri" w:hAnsi="Calibri"/>
          <w:b/>
          <w:bCs/>
          <w:color w:val="BD582C"/>
          <w:sz w:val="22"/>
          <w:szCs w:val="22"/>
        </w:rPr>
        <w:t xml:space="preserve">1.	</w:t>
      </w:r>
      <w:r>
        <w:rPr>
          <w:rFonts w:ascii="Calibri" w:cs="Calibri" w:eastAsia="Calibri" w:hAnsi="Calibri"/>
          <w:color w:val="2B2B2B"/>
          <w:sz w:val="22"/>
          <w:szCs w:val="22"/>
        </w:rPr>
        <w:t xml:space="preserve">Completen la plantilla del proyecto: contexto de la organización, resultado del autodiagnóstico de madurez y matriz de riesgos.</w:t>
      </w:r>
    </w:p>
    <w:p>
      <w:pPr>
        <w:spacing w:after="120" w:line="264"/>
        <w:ind w:left="420" w:hanging="420"/>
      </w:pPr>
      <w:r>
        <w:rPr>
          <w:rFonts w:ascii="Calibri" w:cs="Calibri" w:eastAsia="Calibri" w:hAnsi="Calibri"/>
          <w:b/>
          <w:bCs/>
          <w:color w:val="BD582C"/>
          <w:sz w:val="22"/>
          <w:szCs w:val="22"/>
        </w:rPr>
        <w:t xml:space="preserve">2.	</w:t>
      </w:r>
      <w:r>
        <w:rPr>
          <w:rFonts w:ascii="Calibri" w:cs="Calibri" w:eastAsia="Calibri" w:hAnsi="Calibri"/>
          <w:color w:val="2B2B2B"/>
          <w:sz w:val="22"/>
          <w:szCs w:val="22"/>
        </w:rPr>
        <w:t xml:space="preserve">Seleccionen entre 3 y 5 acciones prioritarias para el roadmap, distribuidas en los tres horizontes de tiempo (quick wins, mediano y largo plazo).</w:t>
      </w:r>
    </w:p>
    <w:p>
      <w:pPr>
        <w:spacing w:after="120" w:line="264"/>
        <w:ind w:left="420" w:hanging="420"/>
      </w:pPr>
      <w:r>
        <w:rPr>
          <w:rFonts w:ascii="Calibri" w:cs="Calibri" w:eastAsia="Calibri" w:hAnsi="Calibri"/>
          <w:b/>
          <w:bCs/>
          <w:color w:val="BD582C"/>
          <w:sz w:val="22"/>
          <w:szCs w:val="22"/>
        </w:rPr>
        <w:t xml:space="preserve">3.	</w:t>
      </w:r>
      <w:r>
        <w:rPr>
          <w:rFonts w:ascii="Calibri" w:cs="Calibri" w:eastAsia="Calibri" w:hAnsi="Calibri"/>
          <w:color w:val="2B2B2B"/>
          <w:sz w:val="22"/>
          <w:szCs w:val="22"/>
        </w:rPr>
        <w:t xml:space="preserve">Para cada acción, definan un responsable (rol) y un indicador de éxito.</w:t>
      </w:r>
    </w:p>
    <w:p>
      <w:pPr>
        <w:pStyle w:val="Heading3"/>
        <w:spacing w:after="100" w:before="200"/>
      </w:pPr>
      <w:r>
        <w:rPr>
          <w:rFonts w:ascii="Calibri" w:cs="Calibri" w:eastAsia="Calibri" w:hAnsi="Calibri"/>
          <w:b/>
          <w:bCs/>
          <w:color w:val="2B2B2B"/>
          <w:sz w:val="23"/>
          <w:szCs w:val="23"/>
        </w:rPr>
        <w:t xml:space="preserve">Espacio de trabajo</w:t>
      </w: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pPr>
        <w:pBdr>
          <w:bottom w:val="single" w:color="CCCCCC" w:sz="4" w:space="1"/>
        </w:pBdr>
        <w:spacing w:after="260"/>
      </w:pPr>
    </w:p>
    <w:p>
      <w:r>
        <w:br w:type="page"/>
      </w:r>
    </w:p>
    <w:p>
      <w:pPr>
        <w:pStyle w:val="Heading1"/>
        <w:pBdr>
          <w:bottom w:val="single" w:color="BD582C" w:sz="4" w:space="4"/>
        </w:pBdr>
        <w:spacing w:after="200" w:before="300"/>
      </w:pPr>
      <w:r>
        <w:rPr>
          <w:rFonts w:ascii="Cambria" w:cs="Cambria" w:eastAsia="Cambria" w:hAnsi="Cambria"/>
          <w:b/>
          <w:bCs/>
          <w:color w:val="010728"/>
          <w:sz w:val="34"/>
          <w:szCs w:val="34"/>
        </w:rPr>
        <w:t xml:space="preserve">Pautas de respuesta y orientación para la discusión</w:t>
      </w:r>
    </w:p>
    <w:p>
      <w:pPr>
        <w:spacing w:after="160" w:line="276"/>
        <w:jc w:val="both"/>
      </w:pPr>
      <w:r>
        <w:rPr>
          <w:rFonts w:ascii="Calibri" w:cs="Calibri" w:eastAsia="Calibri" w:hAnsi="Calibri"/>
          <w:color w:val="2B2B2B"/>
          <w:sz w:val="22"/>
          <w:szCs w:val="22"/>
        </w:rPr>
        <w:t xml:space="preserve">Estas pautas ofrecen ideas clave para orientar la discusión de cada actividad y caso; no sustituyen el análisis propio ni representan la única respuesta correcta.</w:t>
      </w:r>
    </w:p>
    <w:p>
      <w:pPr>
        <w:pStyle w:val="Heading2"/>
        <w:spacing w:after="140" w:before="260"/>
      </w:pPr>
      <w:r>
        <w:rPr>
          <w:rFonts w:ascii="Cambria" w:cs="Cambria" w:eastAsia="Cambria" w:hAnsi="Cambria"/>
          <w:b/>
          <w:bCs/>
          <w:color w:val="BD582C"/>
          <w:sz w:val="26"/>
          <w:szCs w:val="26"/>
        </w:rPr>
        <w:t xml:space="preserve">Actividad 1 — Identifiquemos el tipo de dato y su base legal</w:t>
      </w:r>
    </w:p>
    <w:p>
      <w:pPr>
        <w:spacing w:after="160" w:line="276"/>
        <w:jc w:val="both"/>
      </w:pPr>
      <w:r>
        <w:rPr>
          <w:rFonts w:ascii="Calibri" w:cs="Calibri" w:eastAsia="Calibri" w:hAnsi="Calibri"/>
          <w:color w:val="2B2B2B"/>
          <w:sz w:val="22"/>
          <w:szCs w:val="22"/>
        </w:rPr>
        <w:t xml:space="preserve">Los antecedentes médicos y el seguro de salud contratado son datos sensibles (datos de salud) y requieren consentimiento expreso. El nombre, DNI, teléfono y correo son datos personales "comunes"; su tratamiento para la prestación del servicio puede basarse en la ejecución del contrato o servicio solicitado, aunque también conviene informar claramente su uso.</w:t>
      </w:r>
    </w:p>
    <w:p>
      <w:pPr>
        <w:pStyle w:val="Heading2"/>
        <w:spacing w:after="140" w:before="260"/>
      </w:pPr>
      <w:r>
        <w:rPr>
          <w:rFonts w:ascii="Cambria" w:cs="Cambria" w:eastAsia="Cambria" w:hAnsi="Cambria"/>
          <w:b/>
          <w:bCs/>
          <w:color w:val="BD582C"/>
          <w:sz w:val="26"/>
          <w:szCs w:val="26"/>
        </w:rPr>
        <w:t xml:space="preserve">Actividad 2 — Mini auditoría exprés</w:t>
      </w:r>
    </w:p>
    <w:p>
      <w:pPr>
        <w:spacing w:after="160" w:line="276"/>
        <w:jc w:val="both"/>
      </w:pPr>
      <w:r>
        <w:rPr>
          <w:rFonts w:ascii="Calibri" w:cs="Calibri" w:eastAsia="Calibri" w:hAnsi="Calibri"/>
          <w:color w:val="2B2B2B"/>
          <w:sz w:val="22"/>
          <w:szCs w:val="22"/>
        </w:rPr>
        <w:t xml:space="preserve">No existe una respuesta única: el objetivo es que cada participante identifique honestamente sus propias brechas. Las respuestas "No" en el registro de bancos de datos o en el procedimiento de notificación de incidentes suelen ser las de mayor riesgo legal inmediato, por el plazo de 48 horas que exige la norma.</w:t>
      </w:r>
    </w:p>
    <w:p>
      <w:pPr>
        <w:pStyle w:val="Heading2"/>
        <w:spacing w:after="140" w:before="260"/>
      </w:pPr>
      <w:r>
        <w:rPr>
          <w:rFonts w:ascii="Cambria" w:cs="Cambria" w:eastAsia="Cambria" w:hAnsi="Cambria"/>
          <w:b/>
          <w:bCs/>
          <w:color w:val="BD582C"/>
          <w:sz w:val="26"/>
          <w:szCs w:val="26"/>
        </w:rPr>
        <w:t xml:space="preserve">Caso práctico 1 — Clínica "San Rafael"</w:t>
      </w:r>
    </w:p>
    <w:p>
      <w:pPr>
        <w:pStyle w:val="ListParagraph"/>
        <w:numPr>
          <w:ilvl w:val="0"/>
          <w:numId w:val="2"/>
        </w:numPr>
        <w:spacing w:after="100" w:line="264"/>
      </w:pPr>
      <w:r>
        <w:rPr>
          <w:rFonts w:ascii="Calibri" w:cs="Calibri" w:eastAsia="Calibri" w:hAnsi="Calibri"/>
          <w:color w:val="2B2B2B"/>
          <w:sz w:val="22"/>
          <w:szCs w:val="22"/>
        </w:rPr>
        <w:t xml:space="preserve">Se incumplieron, al menos, los principios de seguridad (no había control de acceso ni contraseña) y de proporcionalidad/finalidad en el acceso del personal administrativo a historias clínicas completas.</w:t>
      </w:r>
    </w:p>
    <w:p>
      <w:pPr>
        <w:pStyle w:val="ListParagraph"/>
        <w:numPr>
          <w:ilvl w:val="0"/>
          <w:numId w:val="2"/>
        </w:numPr>
        <w:spacing w:after="100" w:line="264"/>
      </w:pPr>
      <w:r>
        <w:rPr>
          <w:rFonts w:ascii="Calibri" w:cs="Calibri" w:eastAsia="Calibri" w:hAnsi="Calibri"/>
          <w:color w:val="2B2B2B"/>
          <w:sz w:val="22"/>
          <w:szCs w:val="22"/>
        </w:rPr>
        <w:t xml:space="preserve">Sí debía notificarse: se trata de datos de salud (sensibles) y hay evidencia de acceso indebido y uso posterior con daño al titular; el plazo es de 48 horas ante la ANPD.</w:t>
      </w:r>
    </w:p>
    <w:p>
      <w:pPr>
        <w:pStyle w:val="ListParagraph"/>
        <w:numPr>
          <w:ilvl w:val="0"/>
          <w:numId w:val="2"/>
        </w:numPr>
        <w:spacing w:after="100" w:line="264"/>
      </w:pPr>
      <w:r>
        <w:rPr>
          <w:rFonts w:ascii="Calibri" w:cs="Calibri" w:eastAsia="Calibri" w:hAnsi="Calibri"/>
          <w:color w:val="2B2B2B"/>
          <w:sz w:val="22"/>
          <w:szCs w:val="22"/>
        </w:rPr>
        <w:t xml:space="preserve">Un control de acceso basado en roles, cifrado del archivo y eliminación de accesos del personal que deja la organización hubieran evitado o mitigado el incidente.</w:t>
      </w:r>
    </w:p>
    <w:p>
      <w:pPr>
        <w:pStyle w:val="Heading2"/>
        <w:spacing w:after="140" w:before="260"/>
      </w:pPr>
      <w:r>
        <w:rPr>
          <w:rFonts w:ascii="Cambria" w:cs="Cambria" w:eastAsia="Cambria" w:hAnsi="Cambria"/>
          <w:b/>
          <w:bCs/>
          <w:color w:val="BD582C"/>
          <w:sz w:val="26"/>
          <w:szCs w:val="26"/>
        </w:rPr>
        <w:t xml:space="preserve">Actividad 3 — Clasifiquemos incidentes por severidad</w:t>
      </w:r>
    </w:p>
    <w:p>
      <w:pPr>
        <w:spacing w:after="160" w:line="276"/>
        <w:jc w:val="both"/>
      </w:pPr>
      <w:r>
        <w:rPr>
          <w:rFonts w:ascii="Calibri" w:cs="Calibri" w:eastAsia="Calibri" w:hAnsi="Calibri"/>
          <w:color w:val="2B2B2B"/>
          <w:sz w:val="22"/>
          <w:szCs w:val="22"/>
        </w:rPr>
        <w:t xml:space="preserve">Como referencia: (a) phishing sin clic suele ser severidad baja, útil como alerta temprana; (b) ransomware en producción es severidad crítica, por el impacto operativo inmediato; (c) laptop perdida pero cifrada suele ser severidad baja a media, ya que el cifrado mitiga el riesgo de exposición de datos; (d) la filtración de una base de clientes es severidad alta a crítica, por el volumen de titulares afectados y las obligaciones de notificación que activa.</w:t>
      </w:r>
    </w:p>
    <w:p>
      <w:pPr>
        <w:pStyle w:val="Heading2"/>
        <w:spacing w:after="140" w:before="260"/>
      </w:pPr>
      <w:r>
        <w:rPr>
          <w:rFonts w:ascii="Cambria" w:cs="Cambria" w:eastAsia="Cambria" w:hAnsi="Cambria"/>
          <w:b/>
          <w:bCs/>
          <w:color w:val="BD582C"/>
          <w:sz w:val="26"/>
          <w:szCs w:val="26"/>
        </w:rPr>
        <w:t xml:space="preserve">Actividad 4 — RTO y RPO</w:t>
      </w:r>
    </w:p>
    <w:p>
      <w:pPr>
        <w:spacing w:after="160" w:line="276"/>
        <w:jc w:val="both"/>
      </w:pPr>
      <w:r>
        <w:rPr>
          <w:rFonts w:ascii="Calibri" w:cs="Calibri" w:eastAsia="Calibri" w:hAnsi="Calibri"/>
          <w:color w:val="2B2B2B"/>
          <w:sz w:val="22"/>
          <w:szCs w:val="22"/>
        </w:rPr>
        <w:t xml:space="preserve">No hay una cifra "correcta": lo importante es que el RTO y el RPO estimados sean coherentes con la criticidad real del proceso elegido, y que se comparen honestamente con la capacidad actual de respaldo y recuperación de la organización, identificando la brecha si existe.</w:t>
      </w:r>
    </w:p>
    <w:p>
      <w:pPr>
        <w:pStyle w:val="Heading2"/>
        <w:spacing w:after="140" w:before="260"/>
      </w:pPr>
      <w:r>
        <w:rPr>
          <w:rFonts w:ascii="Cambria" w:cs="Cambria" w:eastAsia="Cambria" w:hAnsi="Cambria"/>
          <w:b/>
          <w:bCs/>
          <w:color w:val="BD582C"/>
          <w:sz w:val="26"/>
          <w:szCs w:val="26"/>
        </w:rPr>
        <w:t xml:space="preserve">Caso práctico 2 — Ransomware en "Comercial Andina S.A.C."</w:t>
      </w:r>
    </w:p>
    <w:p>
      <w:pPr>
        <w:pStyle w:val="ListParagraph"/>
        <w:numPr>
          <w:ilvl w:val="0"/>
          <w:numId w:val="2"/>
        </w:numPr>
        <w:spacing w:after="100" w:line="264"/>
      </w:pPr>
      <w:r>
        <w:rPr>
          <w:rFonts w:ascii="Calibri" w:cs="Calibri" w:eastAsia="Calibri" w:hAnsi="Calibri"/>
          <w:color w:val="2B2B2B"/>
          <w:sz w:val="22"/>
          <w:szCs w:val="22"/>
        </w:rPr>
        <w:t xml:space="preserve">Primeros pasos: aislar los sistemas afectados para evitar la propagación, activar el plan de respuesta a incidentes (o convocar al equipo si no existe uno formal) y evaluar el alcance real del cifrado y de la posible exfiltración de datos.</w:t>
      </w:r>
    </w:p>
    <w:p>
      <w:pPr>
        <w:pStyle w:val="ListParagraph"/>
        <w:numPr>
          <w:ilvl w:val="0"/>
          <w:numId w:val="2"/>
        </w:numPr>
        <w:spacing w:after="100" w:line="264"/>
      </w:pPr>
      <w:r>
        <w:rPr>
          <w:rFonts w:ascii="Calibri" w:cs="Calibri" w:eastAsia="Calibri" w:hAnsi="Calibri"/>
          <w:color w:val="2B2B2B"/>
          <w:sz w:val="22"/>
          <w:szCs w:val="22"/>
        </w:rPr>
        <w:t xml:space="preserve">Pagar el rescate no garantiza recuperar los datos ni evita la publicación de la información; la decisión debe considerar la existencia de respaldos viables, asesoría legal, y el marco de la organización frente a este tipo de exigencias.</w:t>
      </w:r>
    </w:p>
    <w:p>
      <w:pPr>
        <w:pStyle w:val="ListParagraph"/>
        <w:numPr>
          <w:ilvl w:val="0"/>
          <w:numId w:val="2"/>
        </w:numPr>
        <w:spacing w:after="100" w:line="264"/>
      </w:pPr>
      <w:r>
        <w:rPr>
          <w:rFonts w:ascii="Calibri" w:cs="Calibri" w:eastAsia="Calibri" w:hAnsi="Calibri"/>
          <w:color w:val="2B2B2B"/>
          <w:sz w:val="22"/>
          <w:szCs w:val="22"/>
        </w:rPr>
        <w:t xml:space="preserve">Con un RPO de 36 horas de antigüedad en el respaldo, la organización ya perdería como mínimo ese periodo de información; esto evidencia la importancia de probar y acortar los ciclos de respaldo, y de tener un plan de comunicación de crisis ya preparado antes de que ocurra un incidente.</w:t>
      </w:r>
    </w:p>
    <w:p>
      <w:pPr>
        <w:pStyle w:val="Heading2"/>
        <w:spacing w:after="140" w:before="260"/>
      </w:pPr>
      <w:r>
        <w:rPr>
          <w:rFonts w:ascii="Cambria" w:cs="Cambria" w:eastAsia="Cambria" w:hAnsi="Cambria"/>
          <w:b/>
          <w:bCs/>
          <w:color w:val="BD582C"/>
          <w:sz w:val="26"/>
          <w:szCs w:val="26"/>
        </w:rPr>
        <w:t xml:space="preserve">Actividad 5 — Alerta generada por IA</w:t>
      </w:r>
    </w:p>
    <w:p>
      <w:pPr>
        <w:spacing w:after="160" w:line="276"/>
        <w:jc w:val="both"/>
      </w:pPr>
      <w:r>
        <w:rPr>
          <w:rFonts w:ascii="Calibri" w:cs="Calibri" w:eastAsia="Calibri" w:hAnsi="Calibri"/>
          <w:color w:val="2B2B2B"/>
          <w:sz w:val="22"/>
          <w:szCs w:val="22"/>
        </w:rPr>
        <w:t xml:space="preserve">Antes de decidir, conviene conocer: si el usuario tenía razones legítimas para acceder a esos archivos (rol, proyecto en curso), si la ubicación es coherente con un viaje o trabajo remoto conocido, y si hay otras señales simultáneas (por ejemplo, un inicio de sesión fallido previo). Sin esa información adicional, lo prudente es escalar el caso como sospechoso en lugar de descartarlo de inmediato.</w:t>
      </w:r>
    </w:p>
    <w:p>
      <w:pPr>
        <w:pStyle w:val="Heading2"/>
        <w:spacing w:after="140" w:before="260"/>
      </w:pPr>
      <w:r>
        <w:rPr>
          <w:rFonts w:ascii="Cambria" w:cs="Cambria" w:eastAsia="Cambria" w:hAnsi="Cambria"/>
          <w:b/>
          <w:bCs/>
          <w:color w:val="BD582C"/>
          <w:sz w:val="26"/>
          <w:szCs w:val="26"/>
        </w:rPr>
        <w:t xml:space="preserve">Actividad 6 — Protocolo antifraude</w:t>
      </w:r>
    </w:p>
    <w:p>
      <w:pPr>
        <w:spacing w:after="160" w:line="276"/>
        <w:jc w:val="both"/>
      </w:pPr>
      <w:r>
        <w:rPr>
          <w:rFonts w:ascii="Calibri" w:cs="Calibri" w:eastAsia="Calibri" w:hAnsi="Calibri"/>
          <w:color w:val="2B2B2B"/>
          <w:sz w:val="22"/>
          <w:szCs w:val="22"/>
        </w:rPr>
        <w:t xml:space="preserve">Señales presentes en el caso: urgencia extrema, canal inusual (WhatsApp desde un número desconocido), destino de pago nuevo y pedido de confidencialidad; las cuatro juntas son un guion de fraude de manual. Un protocolo mínimo bien formulado se parece a este: "Toda transferencia mayor a X, o a una cuenta no registrada, requiere confirmación telefónica al número corporativo conocido del solicitante y la aprobación de una segunda persona; la urgencia o el pedido de confidencialidad activan la verificación, nunca la eximen". La idea central es que el oído humano ya no es un control de seguridad: el procedimiento sí lo es.</w:t>
      </w:r>
    </w:p>
    <w:p>
      <w:pPr>
        <w:pStyle w:val="Heading2"/>
        <w:spacing w:after="140" w:before="260"/>
      </w:pPr>
      <w:r>
        <w:rPr>
          <w:rFonts w:ascii="Cambria" w:cs="Cambria" w:eastAsia="Cambria" w:hAnsi="Cambria"/>
          <w:b/>
          <w:bCs/>
          <w:color w:val="BD582C"/>
          <w:sz w:val="26"/>
          <w:szCs w:val="26"/>
        </w:rPr>
        <w:t xml:space="preserve">Caso práctico 3 — Chatbot con IA generativa</w:t>
      </w:r>
    </w:p>
    <w:p>
      <w:pPr>
        <w:pStyle w:val="ListParagraph"/>
        <w:numPr>
          <w:ilvl w:val="0"/>
          <w:numId w:val="2"/>
        </w:numPr>
        <w:spacing w:after="100" w:line="264"/>
      </w:pPr>
      <w:r>
        <w:rPr>
          <w:rFonts w:ascii="Calibri" w:cs="Calibri" w:eastAsia="Calibri" w:hAnsi="Calibri"/>
          <w:color w:val="2B2B2B"/>
          <w:sz w:val="22"/>
          <w:szCs w:val="22"/>
        </w:rPr>
        <w:t xml:space="preserve">Deben evaluarse, al menos, la base legal para usar las conversaciones históricas como entrenamiento, la finalidad informada a los clientes, y si se exponen datos de pedidos y pagos (potencialmente sensibles o financieros) a través del chatbot.</w:t>
      </w:r>
    </w:p>
    <w:p>
      <w:pPr>
        <w:pStyle w:val="ListParagraph"/>
        <w:numPr>
          <w:ilvl w:val="0"/>
          <w:numId w:val="2"/>
        </w:numPr>
        <w:spacing w:after="100" w:line="264"/>
      </w:pPr>
      <w:r>
        <w:rPr>
          <w:rFonts w:ascii="Calibri" w:cs="Calibri" w:eastAsia="Calibri" w:hAnsi="Calibri"/>
          <w:color w:val="2B2B2B"/>
          <w:sz w:val="22"/>
          <w:szCs w:val="22"/>
        </w:rPr>
        <w:t xml:space="preserve">Aplican los riesgos de envenenamiento de datos si el histórico de conversaciones no está depurado, y de prompt injection si el chatbot puede recibir instrucciones maliciosas de los propios usuarios.</w:t>
      </w:r>
    </w:p>
    <w:p>
      <w:pPr>
        <w:pStyle w:val="ListParagraph"/>
        <w:numPr>
          <w:ilvl w:val="0"/>
          <w:numId w:val="2"/>
        </w:numPr>
        <w:spacing w:after="100" w:line="264"/>
      </w:pPr>
      <w:r>
        <w:rPr>
          <w:rFonts w:ascii="Calibri" w:cs="Calibri" w:eastAsia="Calibri" w:hAnsi="Calibri"/>
          <w:color w:val="2B2B2B"/>
          <w:sz w:val="22"/>
          <w:szCs w:val="22"/>
        </w:rPr>
        <w:t xml:space="preserve">Conviene exigir supervisión humana para casos sensibles o reclamos, transparencia hacia el cliente de que interactúa con un sistema de IA, y cláusulas contractuales claras con el proveedor sobre uso, seguridad y eliminación de los datos.</w:t>
      </w:r>
    </w:p>
    <w:p>
      <w:pPr>
        <w:pStyle w:val="Heading2"/>
        <w:spacing w:after="140" w:before="260"/>
      </w:pPr>
      <w:r>
        <w:rPr>
          <w:rFonts w:ascii="Cambria" w:cs="Cambria" w:eastAsia="Cambria" w:hAnsi="Cambria"/>
          <w:b/>
          <w:bCs/>
          <w:color w:val="BD582C"/>
          <w:sz w:val="26"/>
          <w:szCs w:val="26"/>
        </w:rPr>
        <w:t xml:space="preserve">Actividades 7 a 9 — Proyecto final</w:t>
      </w:r>
    </w:p>
    <w:p>
      <w:pPr>
        <w:spacing w:after="160" w:line="276"/>
        <w:jc w:val="both"/>
      </w:pPr>
      <w:r>
        <w:rPr>
          <w:rFonts w:ascii="Calibri" w:cs="Calibri" w:eastAsia="Calibri" w:hAnsi="Calibri"/>
          <w:color w:val="2B2B2B"/>
          <w:sz w:val="22"/>
          <w:szCs w:val="22"/>
        </w:rPr>
        <w:t xml:space="preserve">No existe una única combinación correcta de calificaciones, riesgos o acciones: el proyecto final se evalúa por la coherencia entre el autodiagnóstico, los riesgos priorizados y las acciones propuestas, y por la viabilidad de estas últimas dentro de los horizontes de tiempo definidos. Consulten la Guía del Facilitador y las plantillas descargables para profundizar en cada herramienta.</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37373"/>
        <w:sz w:val="16"/>
        <w:szCs w:val="16"/>
      </w:rPr>
      <w:t xml:space="preserve">CENCAEP Capacita · Curso de Ciberseguridad (8 horas) · Página </w:t>
    </w:r>
    <w:r>
      <w:rPr>
        <w:rFonts w:ascii="Calibri" w:cs="Calibri" w:eastAsia="Calibri" w:hAnsi="Calibri"/>
        <w:color w:val="737373"/>
        <w:sz w:val="16"/>
        <w:szCs w:val="16"/>
      </w:rPr>
      <w:fldChar w:fldCharType="begin"/>
      <w:instrText xml:space="preserve">PAGE</w:instrText>
      <w:fldChar w:fldCharType="separate"/>
      <w:fldChar w:fldCharType="end"/>
    </w:r>
    <w:r>
      <w:rPr>
        <w:rFonts w:ascii="Calibri" w:cs="Calibri" w:eastAsia="Calibri" w:hAnsi="Calibri"/>
        <w:color w:val="737373"/>
        <w:sz w:val="16"/>
        <w:szCs w:val="16"/>
      </w:rPr>
      <w:t xml:space="preserve"> de </w:t>
    </w:r>
    <w:r>
      <w:rPr>
        <w:rFonts w:ascii="Calibri" w:cs="Calibri" w:eastAsia="Calibri" w:hAnsi="Calibri"/>
        <w:color w:val="737373"/>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6" w:sz="4" w:space="4"/>
      </w:pBdr>
      <w:jc w:val="right"/>
    </w:pPr>
    <w:r>
      <w:rPr>
        <w:rFonts w:ascii="Calibri" w:cs="Calibri" w:eastAsia="Calibri" w:hAnsi="Calibri"/>
        <w:color w:val="737373"/>
        <w:sz w:val="16"/>
        <w:szCs w:val="16"/>
      </w:rPr>
      <w:t xml:space="preserve">Cuadernillo de Ejercicios · Curso de Ciberseguridad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23daf1d4f44b2b1aed26b79b85865f668839af9.png"/><Relationship Id="rId10" Type="http://schemas.openxmlformats.org/officeDocument/2006/relationships/image" Target="media/e8ad9da87c56b0dda9754bc0c57cbbc6ba52b3e5.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Cuadernillo_Ejercicios_Casos_Practicos.docx</dc:title>
  <dc:creator>CENCAEP Capacita</dc:creator>
  <cp:lastModifiedBy>Un-named</cp:lastModifiedBy>
  <cp:revision>1</cp:revision>
  <dcterms:created xsi:type="dcterms:W3CDTF">2026-09-08T01:05:16.654Z</dcterms:created>
  <dcterms:modified xsi:type="dcterms:W3CDTF">2026-09-08T01:05:16.654Z</dcterms:modified>
</cp:coreProperties>
</file>

<file path=docProps/custom.xml><?xml version="1.0" encoding="utf-8"?>
<Properties xmlns="http://schemas.openxmlformats.org/officeDocument/2006/custom-properties" xmlns:vt="http://schemas.openxmlformats.org/officeDocument/2006/docPropsVTypes"/>
</file>